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806ACC">
      <w:pPr>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default" w:ascii="Times New Roman" w:hAnsi="Times New Roman" w:eastAsia="黑体" w:cs="Times New Roman"/>
          <w:color w:val="auto"/>
          <w:sz w:val="36"/>
          <w:szCs w:val="36"/>
          <w:lang w:val="en-US" w:eastAsia="zh-CN"/>
        </w:rPr>
      </w:pPr>
      <w:r>
        <w:rPr>
          <w:rFonts w:hint="default" w:ascii="Times New Roman" w:hAnsi="Times New Roman" w:eastAsia="黑体" w:cs="Times New Roman"/>
          <w:color w:val="auto"/>
          <w:sz w:val="36"/>
          <w:szCs w:val="36"/>
          <w:lang w:eastAsia="zh-CN"/>
        </w:rPr>
        <w:t>附件</w:t>
      </w:r>
      <w:r>
        <w:rPr>
          <w:rFonts w:hint="default" w:ascii="Times New Roman" w:hAnsi="Times New Roman" w:eastAsia="黑体" w:cs="Times New Roman"/>
          <w:color w:val="auto"/>
          <w:sz w:val="36"/>
          <w:szCs w:val="36"/>
          <w:lang w:val="en-US" w:eastAsia="zh-CN"/>
        </w:rPr>
        <w:t>1</w:t>
      </w:r>
    </w:p>
    <w:p w14:paraId="2D176C4B">
      <w:pPr>
        <w:spacing w:after="0" w:line="560" w:lineRule="exact"/>
        <w:jc w:val="center"/>
        <w:rPr>
          <w:rFonts w:hint="default" w:ascii="Times New Roman" w:hAnsi="Times New Roman" w:eastAsia="方正小标宋简体" w:cs="Times New Roman"/>
          <w:color w:val="auto"/>
          <w:sz w:val="44"/>
          <w:szCs w:val="44"/>
        </w:rPr>
      </w:pPr>
    </w:p>
    <w:p w14:paraId="389574F7">
      <w:pPr>
        <w:spacing w:after="0" w:line="560" w:lineRule="exact"/>
        <w:jc w:val="center"/>
        <w:rPr>
          <w:rFonts w:hint="default" w:ascii="Times New Roman" w:hAnsi="Times New Roman" w:eastAsia="方正小标宋简体" w:cs="Times New Roman"/>
          <w:color w:val="auto"/>
          <w:sz w:val="44"/>
          <w:szCs w:val="44"/>
          <w:lang w:eastAsia="zh-CN"/>
        </w:rPr>
      </w:pPr>
      <w:r>
        <w:rPr>
          <w:rFonts w:hint="default" w:ascii="Times New Roman" w:hAnsi="Times New Roman" w:eastAsia="方正小标宋简体" w:cs="Times New Roman"/>
          <w:color w:val="auto"/>
          <w:sz w:val="44"/>
          <w:szCs w:val="44"/>
        </w:rPr>
        <w:t>新疆重大需求人才支持计划项目</w:t>
      </w:r>
      <w:r>
        <w:rPr>
          <w:rFonts w:hint="default" w:ascii="Times New Roman" w:hAnsi="Times New Roman" w:eastAsia="方正小标宋简体" w:cs="Times New Roman"/>
          <w:color w:val="auto"/>
          <w:sz w:val="44"/>
          <w:szCs w:val="44"/>
          <w:lang w:eastAsia="zh-CN"/>
        </w:rPr>
        <w:t>榜单</w:t>
      </w:r>
    </w:p>
    <w:p w14:paraId="3AA98F35">
      <w:pPr>
        <w:pStyle w:val="2"/>
        <w:spacing w:after="0" w:line="560" w:lineRule="exact"/>
        <w:ind w:firstLine="0" w:firstLineChars="0"/>
        <w:jc w:val="left"/>
        <w:rPr>
          <w:rFonts w:hint="default" w:ascii="Times New Roman" w:hAnsi="Times New Roman" w:eastAsia="楷体_GB2312" w:cs="Times New Roman"/>
          <w:color w:val="auto"/>
          <w:sz w:val="32"/>
          <w:szCs w:val="32"/>
        </w:rPr>
      </w:pPr>
    </w:p>
    <w:p w14:paraId="1D7296C4">
      <w:pPr>
        <w:spacing w:line="560" w:lineRule="exact"/>
        <w:ind w:firstLine="67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项目需求</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极干旱高盐碱环境出土金属文物病害防治</w:t>
      </w:r>
      <w:r>
        <w:rPr>
          <w:rFonts w:hint="eastAsia" w:ascii="仿宋_GB2312" w:hAnsi="仿宋_GB2312" w:eastAsia="仿宋_GB2312" w:cs="仿宋_GB2312"/>
          <w:sz w:val="32"/>
          <w:szCs w:val="32"/>
        </w:rPr>
        <w:t>关键</w:t>
      </w:r>
      <w:r>
        <w:rPr>
          <w:rFonts w:ascii="仿宋_GB2312" w:hAnsi="仿宋_GB2312" w:eastAsia="仿宋_GB2312" w:cs="仿宋_GB2312"/>
          <w:sz w:val="32"/>
          <w:szCs w:val="32"/>
        </w:rPr>
        <w:t>技术</w:t>
      </w:r>
      <w:r>
        <w:rPr>
          <w:rFonts w:hint="eastAsia" w:ascii="仿宋_GB2312" w:hAnsi="仿宋_GB2312" w:eastAsia="仿宋_GB2312" w:cs="仿宋_GB2312"/>
          <w:sz w:val="32"/>
          <w:szCs w:val="32"/>
        </w:rPr>
        <w:t>及应用示范</w:t>
      </w:r>
    </w:p>
    <w:p w14:paraId="6C6A9613">
      <w:pPr>
        <w:spacing w:line="620" w:lineRule="exact"/>
        <w:ind w:firstLine="672"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、需求单位</w:t>
      </w:r>
    </w:p>
    <w:p w14:paraId="7DD132D1">
      <w:pPr>
        <w:pStyle w:val="4"/>
        <w:spacing w:line="620" w:lineRule="exact"/>
        <w:ind w:firstLine="672"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新疆</w:t>
      </w:r>
      <w:r>
        <w:rPr>
          <w:rFonts w:hint="eastAsia" w:ascii="Times New Roman" w:hAnsi="Times New Roman" w:eastAsia="仿宋_GB2312" w:cs="Times New Roman"/>
          <w:sz w:val="32"/>
          <w:szCs w:val="32"/>
          <w:lang w:eastAsia="zh-CN"/>
        </w:rPr>
        <w:t>维吾尔自治区</w:t>
      </w:r>
      <w:r>
        <w:rPr>
          <w:rFonts w:hint="eastAsia" w:ascii="Times New Roman" w:hAnsi="Times New Roman" w:eastAsia="仿宋_GB2312" w:cs="Times New Roman"/>
          <w:sz w:val="32"/>
          <w:szCs w:val="32"/>
        </w:rPr>
        <w:t>文物考古研究所</w:t>
      </w:r>
    </w:p>
    <w:p w14:paraId="383322A4">
      <w:pPr>
        <w:pStyle w:val="4"/>
        <w:spacing w:line="620" w:lineRule="exact"/>
        <w:ind w:firstLine="67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项目专员：</w:t>
      </w:r>
      <w:r>
        <w:rPr>
          <w:rFonts w:hint="eastAsia" w:ascii="Times New Roman" w:hAnsi="Times New Roman" w:eastAsia="仿宋_GB2312" w:cs="Times New Roman"/>
          <w:sz w:val="32"/>
          <w:szCs w:val="32"/>
        </w:rPr>
        <w:t>王永强（</w:t>
      </w:r>
      <w:r>
        <w:rPr>
          <w:rFonts w:ascii="Times New Roman" w:hAnsi="Times New Roman" w:eastAsia="仿宋_GB2312" w:cs="Times New Roman"/>
          <w:sz w:val="32"/>
          <w:szCs w:val="32"/>
        </w:rPr>
        <w:t>0991-3815670，15022956323</w:t>
      </w:r>
      <w:r>
        <w:rPr>
          <w:rFonts w:hint="eastAsia" w:ascii="Times New Roman" w:hAnsi="Times New Roman" w:eastAsia="仿宋_GB2312" w:cs="Times New Roman"/>
          <w:sz w:val="32"/>
          <w:szCs w:val="32"/>
        </w:rPr>
        <w:t>）</w:t>
      </w:r>
    </w:p>
    <w:p w14:paraId="6374B8F9">
      <w:pPr>
        <w:pStyle w:val="2"/>
        <w:spacing w:line="620" w:lineRule="exact"/>
        <w:ind w:firstLine="640" w:firstLineChars="0"/>
        <w:rPr>
          <w:rFonts w:ascii="Times New Roman" w:hAnsi="Times New Roman" w:eastAsia="黑体" w:cs="Times New Roman"/>
          <w:sz w:val="32"/>
          <w:szCs w:val="32"/>
        </w:rPr>
      </w:pPr>
      <w:r>
        <w:rPr>
          <w:rFonts w:hint="eastAsia" w:ascii="Times New Roman" w:hAnsi="Times New Roman" w:eastAsia="黑体" w:cs="Times New Roman"/>
          <w:sz w:val="32"/>
          <w:szCs w:val="32"/>
        </w:rPr>
        <w:t>二</w:t>
      </w:r>
      <w:r>
        <w:rPr>
          <w:rFonts w:ascii="Times New Roman" w:hAnsi="Times New Roman" w:eastAsia="黑体" w:cs="Times New Roman"/>
          <w:sz w:val="32"/>
          <w:szCs w:val="32"/>
        </w:rPr>
        <w:t>、需求内容</w:t>
      </w:r>
    </w:p>
    <w:p w14:paraId="6E443AC5">
      <w:pPr>
        <w:spacing w:line="560" w:lineRule="exact"/>
        <w:ind w:firstLine="67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b/>
          <w:bCs/>
          <w:sz w:val="32"/>
          <w:szCs w:val="32"/>
        </w:rPr>
        <w:t>系统揭示干旱—高盐碱—温差—风沙等多场耦合作用下金属文物的腐蚀机理及典型腐蚀产物在赋存环境中的演化和致损机制</w:t>
      </w:r>
      <w:r>
        <w:rPr>
          <w:rFonts w:hint="eastAsia" w:ascii="仿宋_GB2312" w:hAnsi="仿宋_GB2312" w:eastAsia="仿宋_GB2312" w:cs="仿宋_GB2312"/>
          <w:sz w:val="32"/>
          <w:szCs w:val="32"/>
        </w:rPr>
        <w:t>，建立铜、铁、银三类文物的腐蚀热力学/动力学模型与损伤定量评价数据库。</w:t>
      </w:r>
    </w:p>
    <w:p w14:paraId="5D30292D">
      <w:pPr>
        <w:spacing w:line="560" w:lineRule="exact"/>
        <w:ind w:firstLine="67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2.研发适用于干旱高盐碱地区金属文物的腐蚀防护及锈层稳定化处理新技术</w:t>
      </w:r>
      <w:r>
        <w:rPr>
          <w:rFonts w:hint="eastAsia" w:ascii="仿宋_GB2312" w:hAnsi="仿宋_GB2312" w:eastAsia="仿宋_GB2312" w:cs="仿宋_GB2312"/>
          <w:sz w:val="32"/>
          <w:szCs w:val="32"/>
        </w:rPr>
        <w:t>，形成基于光致钝化的金属文物腐蚀防护新技术，解决金属文物保护工作长期存在的最优保护效果和最小干预原则不可兼得的矛盾问题；构建基于金属有机框架材料的金属文物锈层稳定化处理新材料及配套工艺，进一步提高极干旱高盐碱地区金属文物锈层的长期稳定性，实现关键材料与技术的国产替代。</w:t>
      </w:r>
    </w:p>
    <w:p w14:paraId="3ECC7463">
      <w:pPr>
        <w:spacing w:line="560" w:lineRule="exact"/>
        <w:ind w:firstLine="67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3.研制集“诊断-治理-评估-监测”于一体的文物保护装备</w:t>
      </w:r>
      <w:r>
        <w:rPr>
          <w:rFonts w:hint="eastAsia" w:ascii="仿宋_GB2312" w:hAnsi="仿宋_GB2312" w:eastAsia="仿宋_GB2312" w:cs="仿宋_GB2312"/>
          <w:sz w:val="32"/>
          <w:szCs w:val="32"/>
        </w:rPr>
        <w:t>，开发原位多参量监测与微环境调控系统，在吐鲁番、哈密、库车等地开展工程化示范，形成适应新疆情景的技术标准与推广模式，解决当前极干旱高盐碱地区出土金属文物保护标准化程度低、装备薄弱、人才短缺的地区难题。</w:t>
      </w:r>
    </w:p>
    <w:p w14:paraId="35061A17">
      <w:pPr>
        <w:pStyle w:val="2"/>
        <w:spacing w:line="620" w:lineRule="exact"/>
        <w:ind w:firstLine="640" w:firstLineChars="0"/>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三</w:t>
      </w:r>
      <w:r>
        <w:rPr>
          <w:rFonts w:ascii="Times New Roman" w:hAnsi="Times New Roman" w:eastAsia="黑体" w:cs="Times New Roman"/>
          <w:sz w:val="32"/>
          <w:szCs w:val="32"/>
        </w:rPr>
        <w:t>、</w:t>
      </w:r>
      <w:r>
        <w:rPr>
          <w:rFonts w:hint="eastAsia" w:ascii="Times New Roman" w:hAnsi="Times New Roman" w:eastAsia="黑体" w:cs="Times New Roman"/>
          <w:sz w:val="32"/>
          <w:szCs w:val="32"/>
        </w:rPr>
        <w:t>技术指标</w:t>
      </w:r>
    </w:p>
    <w:p w14:paraId="0262D6C0">
      <w:pPr>
        <w:spacing w:line="560" w:lineRule="exact"/>
        <w:ind w:firstLine="67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1.构建基于光致钝化的金属文物腐蚀防护技术体系1套；</w:t>
      </w:r>
    </w:p>
    <w:p w14:paraId="2963C736">
      <w:pPr>
        <w:spacing w:line="560" w:lineRule="exact"/>
        <w:ind w:firstLine="67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2．研发基于金属有机框架化合物的金属文物锈层稳定化处理新材料及配套工艺流程不少于2套；</w:t>
      </w:r>
    </w:p>
    <w:p w14:paraId="3B255E57">
      <w:pPr>
        <w:spacing w:line="560" w:lineRule="exact"/>
        <w:ind w:firstLine="67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3.建立新疆典型环境下金属文物腐蚀机理数据库与评价体系1套，至少涵盖铜、铁、银3种材质的金属文物；</w:t>
      </w:r>
    </w:p>
    <w:p w14:paraId="7B0A7645">
      <w:pPr>
        <w:spacing w:line="560" w:lineRule="exact"/>
        <w:ind w:firstLine="67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4.在国内外核心期刊发表高水平研究论文6-8篇；</w:t>
      </w:r>
    </w:p>
    <w:p w14:paraId="4F8F527E">
      <w:pPr>
        <w:spacing w:line="560" w:lineRule="exact"/>
        <w:ind w:firstLine="67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5.形成极干旱高盐碱环境金属文物保护领域核心技术专利3-6项；</w:t>
      </w:r>
    </w:p>
    <w:p w14:paraId="1447425A">
      <w:pPr>
        <w:spacing w:line="560" w:lineRule="exact"/>
        <w:ind w:firstLine="67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6.出台自治区或国家层面的技术标准/操作规程2</w:t>
      </w:r>
      <w:r>
        <w:rPr>
          <w:rFonts w:ascii="Courier New" w:hAnsi="Courier New" w:eastAsia="仿宋_GB2312" w:cs="Courier New"/>
          <w:sz w:val="32"/>
          <w:szCs w:val="32"/>
        </w:rPr>
        <w:t>–</w:t>
      </w:r>
      <w:r>
        <w:rPr>
          <w:rFonts w:hint="eastAsia" w:ascii="仿宋_GB2312" w:hAnsi="仿宋_GB2312" w:eastAsia="仿宋_GB2312" w:cs="仿宋_GB2312"/>
          <w:sz w:val="32"/>
          <w:szCs w:val="32"/>
        </w:rPr>
        <w:t>3项；</w:t>
      </w:r>
    </w:p>
    <w:p w14:paraId="6DC69B73">
      <w:pPr>
        <w:spacing w:line="560" w:lineRule="exact"/>
        <w:ind w:firstLine="67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7.培养文物保护与材料腐蚀领域专业技术人才10</w:t>
      </w:r>
      <w:r>
        <w:rPr>
          <w:rFonts w:ascii="Courier New" w:hAnsi="Courier New" w:eastAsia="仿宋_GB2312" w:cs="Courier New"/>
          <w:sz w:val="32"/>
          <w:szCs w:val="32"/>
        </w:rPr>
        <w:t>–</w:t>
      </w:r>
      <w:r>
        <w:rPr>
          <w:rFonts w:hint="eastAsia" w:ascii="仿宋_GB2312" w:hAnsi="仿宋_GB2312" w:eastAsia="仿宋_GB2312" w:cs="仿宋_GB2312"/>
          <w:sz w:val="32"/>
          <w:szCs w:val="32"/>
        </w:rPr>
        <w:t>15名，形成跨学科创新团队，服务“文化润疆”战略与“一带一路”文化遗产保护合作。</w:t>
      </w:r>
    </w:p>
    <w:p w14:paraId="7769E423">
      <w:pPr>
        <w:pStyle w:val="2"/>
        <w:ind w:firstLine="674"/>
        <w:rPr>
          <w:rFonts w:ascii="Times New Roman" w:hAnsi="Times New Roman" w:eastAsia="黑体" w:cs="Times New Roman"/>
          <w:sz w:val="32"/>
          <w:szCs w:val="32"/>
        </w:rPr>
      </w:pPr>
      <w:r>
        <w:rPr>
          <w:rFonts w:ascii="Times New Roman" w:hAnsi="Times New Roman" w:eastAsia="黑体" w:cs="Times New Roman"/>
          <w:sz w:val="32"/>
          <w:szCs w:val="32"/>
        </w:rPr>
        <w:t>四、</w:t>
      </w:r>
      <w:r>
        <w:rPr>
          <w:rFonts w:hint="eastAsia" w:ascii="Times New Roman" w:hAnsi="Times New Roman" w:eastAsia="黑体" w:cs="Times New Roman"/>
          <w:bCs/>
          <w:sz w:val="32"/>
          <w:szCs w:val="32"/>
        </w:rPr>
        <w:t>交付条件</w:t>
      </w:r>
    </w:p>
    <w:p w14:paraId="23C5BED5">
      <w:pPr>
        <w:spacing w:line="560" w:lineRule="exact"/>
        <w:ind w:firstLine="67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上述任务列出的技术指标和成果形式作为验收的主要依据。论文发表应提供检索报告；申请发明专利应取得受理通知书；应用示范应取得相关文博单位的应用证明；技术标准及操作规程等应通过技术专家联合评审等。</w:t>
      </w:r>
    </w:p>
    <w:p w14:paraId="5D74B92C">
      <w:pPr>
        <w:pStyle w:val="2"/>
        <w:ind w:firstLine="674"/>
        <w:rPr>
          <w:rFonts w:ascii="Times New Roman" w:hAnsi="Times New Roman" w:eastAsia="黑体" w:cs="Times New Roman"/>
          <w:sz w:val="32"/>
          <w:szCs w:val="32"/>
        </w:rPr>
      </w:pPr>
      <w:r>
        <w:rPr>
          <w:rFonts w:hint="eastAsia" w:ascii="Times New Roman" w:hAnsi="Times New Roman" w:eastAsia="黑体" w:cs="Times New Roman"/>
          <w:sz w:val="32"/>
          <w:szCs w:val="32"/>
        </w:rPr>
        <w:t>五</w:t>
      </w:r>
      <w:r>
        <w:rPr>
          <w:rFonts w:ascii="Times New Roman" w:hAnsi="Times New Roman" w:eastAsia="黑体" w:cs="Times New Roman"/>
          <w:sz w:val="32"/>
          <w:szCs w:val="32"/>
        </w:rPr>
        <w:t>、</w:t>
      </w:r>
      <w:r>
        <w:rPr>
          <w:rFonts w:hint="eastAsia" w:ascii="Times New Roman" w:hAnsi="Times New Roman" w:eastAsia="黑体" w:cs="Times New Roman"/>
          <w:bCs/>
          <w:sz w:val="32"/>
          <w:szCs w:val="32"/>
        </w:rPr>
        <w:t>项目实施周期及揭榜金额</w:t>
      </w:r>
    </w:p>
    <w:p w14:paraId="537DC37E">
      <w:pPr>
        <w:adjustRightInd w:val="0"/>
        <w:snapToGrid w:val="0"/>
        <w:spacing w:line="600" w:lineRule="exact"/>
        <w:ind w:firstLine="67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项目实施周期为三年，由新疆人才发展基金提供支持，</w:t>
      </w:r>
      <w:r>
        <w:rPr>
          <w:rFonts w:hint="eastAsia" w:ascii="Times New Roman" w:hAnsi="Times New Roman" w:eastAsia="仿宋_GB2312" w:cs="Times New Roman"/>
          <w:sz w:val="32"/>
          <w:szCs w:val="32"/>
        </w:rPr>
        <w:t>揭榜金额不超过750</w:t>
      </w:r>
      <w:r>
        <w:rPr>
          <w:rFonts w:ascii="Times New Roman" w:hAnsi="Times New Roman" w:eastAsia="仿宋_GB2312" w:cs="Times New Roman"/>
          <w:sz w:val="32"/>
          <w:szCs w:val="32"/>
        </w:rPr>
        <w:t>万元。</w:t>
      </w:r>
    </w:p>
    <w:p w14:paraId="34D806BB">
      <w:pPr>
        <w:pStyle w:val="2"/>
        <w:ind w:firstLine="674"/>
        <w:rPr>
          <w:rFonts w:ascii="Times New Roman" w:hAnsi="Times New Roman" w:eastAsia="黑体" w:cs="Times New Roman"/>
          <w:sz w:val="32"/>
          <w:szCs w:val="32"/>
        </w:rPr>
      </w:pPr>
      <w:r>
        <w:rPr>
          <w:rFonts w:hint="eastAsia" w:ascii="Times New Roman" w:hAnsi="Times New Roman" w:eastAsia="黑体" w:cs="Times New Roman"/>
          <w:sz w:val="32"/>
          <w:szCs w:val="32"/>
        </w:rPr>
        <w:t>六</w:t>
      </w:r>
      <w:r>
        <w:rPr>
          <w:rFonts w:ascii="Times New Roman" w:hAnsi="Times New Roman" w:eastAsia="黑体" w:cs="Times New Roman"/>
          <w:sz w:val="32"/>
          <w:szCs w:val="32"/>
        </w:rPr>
        <w:t>、</w:t>
      </w:r>
      <w:r>
        <w:rPr>
          <w:rFonts w:hint="eastAsia" w:ascii="Times New Roman" w:hAnsi="Times New Roman" w:eastAsia="黑体" w:cs="Times New Roman"/>
          <w:sz w:val="32"/>
          <w:szCs w:val="32"/>
        </w:rPr>
        <w:t>对揭榜方要求</w:t>
      </w:r>
    </w:p>
    <w:p w14:paraId="067F0764">
      <w:pPr>
        <w:spacing w:line="600" w:lineRule="exact"/>
        <w:ind w:firstLine="67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1.在揭示极干旱高盐碱环境下金属文物腐蚀机理方面。</w:t>
      </w:r>
      <w:r>
        <w:rPr>
          <w:rFonts w:hint="eastAsia" w:ascii="仿宋_GB2312" w:hAnsi="仿宋_GB2312" w:eastAsia="仿宋_GB2312" w:cs="仿宋_GB2312"/>
          <w:sz w:val="32"/>
          <w:szCs w:val="32"/>
        </w:rPr>
        <w:t>项目团队需长期从事金属腐蚀机理与文物病害演化研究，具备国际先进的显微分析、光谱（能谱）测试与电化学评价能力，能够突破干旱高盐碱环境下多盐耦合腐蚀机理不清的理论瓶颈，为新疆文物保存提供科学认知支撑。</w:t>
      </w:r>
    </w:p>
    <w:p w14:paraId="58D13805">
      <w:pPr>
        <w:spacing w:line="560" w:lineRule="exact"/>
        <w:ind w:firstLine="672" w:firstLineChars="200"/>
        <w:rPr>
          <w:rFonts w:hint="eastAsia" w:ascii="仿宋_GB2312" w:hAnsi="仿宋_GB2312" w:eastAsia="仿宋_GB2312" w:cs="仿宋_GB2312"/>
          <w:sz w:val="32"/>
          <w:szCs w:val="32"/>
        </w:rPr>
      </w:pPr>
      <w:r>
        <w:rPr>
          <w:rFonts w:ascii="Times New Roman" w:hAnsi="Times New Roman" w:eastAsia="仿宋_GB2312" w:cs="Times New Roman"/>
          <w:sz w:val="32"/>
          <w:szCs w:val="32"/>
        </w:rPr>
        <w:t>2.</w:t>
      </w:r>
      <w:r>
        <w:rPr>
          <w:rFonts w:hint="eastAsia" w:ascii="仿宋_GB2312" w:hAnsi="仿宋_GB2312" w:eastAsia="仿宋_GB2312" w:cs="仿宋_GB2312"/>
          <w:b/>
          <w:bCs/>
          <w:sz w:val="32"/>
          <w:szCs w:val="32"/>
        </w:rPr>
        <w:t>在创新防治材料与低（无水）工艺研发方面。</w:t>
      </w:r>
      <w:r>
        <w:rPr>
          <w:rFonts w:hint="eastAsia" w:ascii="仿宋_GB2312" w:hAnsi="仿宋_GB2312" w:eastAsia="仿宋_GB2312" w:cs="仿宋_GB2312"/>
          <w:sz w:val="32"/>
          <w:szCs w:val="32"/>
        </w:rPr>
        <w:t>项目团队应掌握新型功能材料设计与腐蚀防护关键技术，具有光致钝化等金属文物腐蚀防护新技术的相关研究基础及研究能力，能够有效解决传统保护材料及技术有效性及可逆性不可兼得的技术瓶颈</w:t>
      </w:r>
      <w:r>
        <w:rPr>
          <w:rFonts w:hint="eastAsia" w:ascii="仿宋_GB2312" w:hAnsi="仿宋_GB2312" w:eastAsia="仿宋_GB2312" w:cs="仿宋_GB2312"/>
          <w:color w:val="000000" w:themeColor="text1"/>
          <w:sz w:val="32"/>
          <w:szCs w:val="32"/>
          <w14:textFill>
            <w14:solidFill>
              <w14:schemeClr w14:val="tx1"/>
            </w14:solidFill>
          </w14:textFill>
        </w:rPr>
        <w:t>以及</w:t>
      </w:r>
      <w:r>
        <w:rPr>
          <w:rFonts w:hint="eastAsia" w:ascii="仿宋_GB2312" w:hAnsi="仿宋_GB2312" w:eastAsia="仿宋_GB2312" w:cs="仿宋_GB2312"/>
          <w:sz w:val="32"/>
          <w:szCs w:val="32"/>
        </w:rPr>
        <w:t>关键材</w:t>
      </w:r>
      <w:bookmarkStart w:id="0" w:name="_GoBack"/>
      <w:bookmarkEnd w:id="0"/>
      <w:r>
        <w:rPr>
          <w:rFonts w:hint="eastAsia" w:ascii="仿宋_GB2312" w:hAnsi="仿宋_GB2312" w:eastAsia="仿宋_GB2312" w:cs="仿宋_GB2312"/>
          <w:sz w:val="32"/>
          <w:szCs w:val="32"/>
        </w:rPr>
        <w:t>料依赖进口的局限，为新疆文物保护形成国产替代方案。</w:t>
      </w:r>
    </w:p>
    <w:p w14:paraId="460B4686">
      <w:pPr>
        <w:spacing w:line="560" w:lineRule="exact"/>
        <w:ind w:firstLine="672" w:firstLineChars="200"/>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rPr>
        <w:t>3.</w:t>
      </w:r>
      <w:r>
        <w:rPr>
          <w:rFonts w:hint="eastAsia" w:ascii="仿宋_GB2312" w:hAnsi="仿宋_GB2312" w:eastAsia="仿宋_GB2312" w:cs="仿宋_GB2312"/>
          <w:b/>
          <w:bCs/>
          <w:sz w:val="32"/>
          <w:szCs w:val="32"/>
        </w:rPr>
        <w:t>在现场示范应用与区域标准制定方面。</w:t>
      </w:r>
      <w:r>
        <w:rPr>
          <w:rFonts w:hint="eastAsia" w:ascii="仿宋_GB2312" w:hAnsi="仿宋_GB2312" w:eastAsia="仿宋_GB2312" w:cs="仿宋_GB2312"/>
          <w:sz w:val="32"/>
          <w:szCs w:val="32"/>
        </w:rPr>
        <w:t>项目团队应具备新疆本土文物保护与考古发掘资质，熟悉吐鲁番、哈密、库车等典型遗址文物保存环境，能够实现科研成果与保护实践的深度结合，形成符合新疆情景的标准规范与示范样板。</w:t>
      </w:r>
    </w:p>
    <w:p w14:paraId="40290B7C">
      <w:pPr>
        <w:adjustRightInd w:val="0"/>
        <w:snapToGrid w:val="0"/>
        <w:spacing w:line="600" w:lineRule="exact"/>
        <w:ind w:firstLine="672" w:firstLineChars="200"/>
        <w:rPr>
          <w:rFonts w:ascii="Times New Roman" w:hAnsi="Times New Roman" w:eastAsia="仿宋_GB2312" w:cs="Times New Roman"/>
          <w:sz w:val="32"/>
          <w:szCs w:val="32"/>
        </w:rPr>
      </w:pPr>
    </w:p>
    <w:p w14:paraId="6A4E8C59">
      <w:pPr>
        <w:spacing w:line="600" w:lineRule="exact"/>
      </w:pPr>
    </w:p>
    <w:sectPr>
      <w:footerReference r:id="rId3" w:type="default"/>
      <w:pgSz w:w="11906" w:h="16838"/>
      <w:pgMar w:top="2098" w:right="1531" w:bottom="1984" w:left="1531" w:header="1134" w:footer="1417" w:gutter="0"/>
      <w:cols w:space="0" w:num="1"/>
      <w:docGrid w:type="linesAndChars" w:linePitch="490" w:charSpace="343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16D65">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11D527">
                          <w:pPr>
                            <w:pStyle w:val="6"/>
                            <w:rPr>
                              <w:rFonts w:hint="eastAsia" w:ascii="宋体" w:hAnsi="宋体" w:eastAsia="宋体" w:cs="宋体"/>
                              <w:sz w:val="28"/>
                              <w:szCs w:val="40"/>
                            </w:rPr>
                          </w:pPr>
                          <w:r>
                            <w:rPr>
                              <w:rFonts w:hint="eastAsia" w:ascii="宋体" w:hAnsi="宋体" w:eastAsia="宋体" w:cs="宋体"/>
                              <w:sz w:val="28"/>
                              <w:szCs w:val="40"/>
                            </w:rPr>
                            <w:t xml:space="preserve">— </w:t>
                          </w:r>
                          <w:r>
                            <w:rPr>
                              <w:rFonts w:hint="eastAsia" w:ascii="宋体" w:hAnsi="宋体" w:eastAsia="宋体" w:cs="宋体"/>
                              <w:sz w:val="28"/>
                              <w:szCs w:val="40"/>
                            </w:rPr>
                            <w:fldChar w:fldCharType="begin"/>
                          </w:r>
                          <w:r>
                            <w:rPr>
                              <w:rFonts w:hint="eastAsia" w:ascii="宋体" w:hAnsi="宋体" w:eastAsia="宋体" w:cs="宋体"/>
                              <w:sz w:val="28"/>
                              <w:szCs w:val="40"/>
                            </w:rPr>
                            <w:instrText xml:space="preserve"> PAGE  \* MERGEFORMAT </w:instrText>
                          </w:r>
                          <w:r>
                            <w:rPr>
                              <w:rFonts w:hint="eastAsia" w:ascii="宋体" w:hAnsi="宋体" w:eastAsia="宋体" w:cs="宋体"/>
                              <w:sz w:val="28"/>
                              <w:szCs w:val="40"/>
                            </w:rPr>
                            <w:fldChar w:fldCharType="separate"/>
                          </w:r>
                          <w:r>
                            <w:rPr>
                              <w:rFonts w:hint="eastAsia" w:ascii="宋体" w:hAnsi="宋体" w:eastAsia="宋体" w:cs="宋体"/>
                              <w:sz w:val="28"/>
                              <w:szCs w:val="40"/>
                            </w:rPr>
                            <w:t>1</w:t>
                          </w:r>
                          <w:r>
                            <w:rPr>
                              <w:rFonts w:hint="eastAsia" w:ascii="宋体" w:hAnsi="宋体" w:eastAsia="宋体" w:cs="宋体"/>
                              <w:sz w:val="28"/>
                              <w:szCs w:val="40"/>
                            </w:rPr>
                            <w:fldChar w:fldCharType="end"/>
                          </w:r>
                          <w:r>
                            <w:rPr>
                              <w:rFonts w:hint="eastAsia" w:ascii="宋体" w:hAnsi="宋体" w:eastAsia="宋体" w:cs="宋体"/>
                              <w:sz w:val="28"/>
                              <w:szCs w:val="40"/>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C11D527">
                    <w:pPr>
                      <w:pStyle w:val="6"/>
                      <w:rPr>
                        <w:rFonts w:hint="eastAsia" w:ascii="宋体" w:hAnsi="宋体" w:eastAsia="宋体" w:cs="宋体"/>
                        <w:sz w:val="28"/>
                        <w:szCs w:val="40"/>
                      </w:rPr>
                    </w:pPr>
                    <w:r>
                      <w:rPr>
                        <w:rFonts w:hint="eastAsia" w:ascii="宋体" w:hAnsi="宋体" w:eastAsia="宋体" w:cs="宋体"/>
                        <w:sz w:val="28"/>
                        <w:szCs w:val="40"/>
                      </w:rPr>
                      <w:t xml:space="preserve">— </w:t>
                    </w:r>
                    <w:r>
                      <w:rPr>
                        <w:rFonts w:hint="eastAsia" w:ascii="宋体" w:hAnsi="宋体" w:eastAsia="宋体" w:cs="宋体"/>
                        <w:sz w:val="28"/>
                        <w:szCs w:val="40"/>
                      </w:rPr>
                      <w:fldChar w:fldCharType="begin"/>
                    </w:r>
                    <w:r>
                      <w:rPr>
                        <w:rFonts w:hint="eastAsia" w:ascii="宋体" w:hAnsi="宋体" w:eastAsia="宋体" w:cs="宋体"/>
                        <w:sz w:val="28"/>
                        <w:szCs w:val="40"/>
                      </w:rPr>
                      <w:instrText xml:space="preserve"> PAGE  \* MERGEFORMAT </w:instrText>
                    </w:r>
                    <w:r>
                      <w:rPr>
                        <w:rFonts w:hint="eastAsia" w:ascii="宋体" w:hAnsi="宋体" w:eastAsia="宋体" w:cs="宋体"/>
                        <w:sz w:val="28"/>
                        <w:szCs w:val="40"/>
                      </w:rPr>
                      <w:fldChar w:fldCharType="separate"/>
                    </w:r>
                    <w:r>
                      <w:rPr>
                        <w:rFonts w:hint="eastAsia" w:ascii="宋体" w:hAnsi="宋体" w:eastAsia="宋体" w:cs="宋体"/>
                        <w:sz w:val="28"/>
                        <w:szCs w:val="40"/>
                      </w:rPr>
                      <w:t>1</w:t>
                    </w:r>
                    <w:r>
                      <w:rPr>
                        <w:rFonts w:hint="eastAsia" w:ascii="宋体" w:hAnsi="宋体" w:eastAsia="宋体" w:cs="宋体"/>
                        <w:sz w:val="28"/>
                        <w:szCs w:val="40"/>
                      </w:rPr>
                      <w:fldChar w:fldCharType="end"/>
                    </w:r>
                    <w:r>
                      <w:rPr>
                        <w:rFonts w:hint="eastAsia" w:ascii="宋体" w:hAnsi="宋体" w:eastAsia="宋体" w:cs="宋体"/>
                        <w:sz w:val="28"/>
                        <w:szCs w:val="40"/>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08F4B7D"/>
    <w:rsid w:val="00011367"/>
    <w:rsid w:val="0007704B"/>
    <w:rsid w:val="00081BEF"/>
    <w:rsid w:val="000A3420"/>
    <w:rsid w:val="000B7FDE"/>
    <w:rsid w:val="00122AC2"/>
    <w:rsid w:val="0014393C"/>
    <w:rsid w:val="001561DC"/>
    <w:rsid w:val="00177AB0"/>
    <w:rsid w:val="00196787"/>
    <w:rsid w:val="00197AD1"/>
    <w:rsid w:val="00201981"/>
    <w:rsid w:val="00210DFE"/>
    <w:rsid w:val="00224F1E"/>
    <w:rsid w:val="002534A0"/>
    <w:rsid w:val="00261A83"/>
    <w:rsid w:val="00280199"/>
    <w:rsid w:val="0028171A"/>
    <w:rsid w:val="002D6F0F"/>
    <w:rsid w:val="002E3786"/>
    <w:rsid w:val="00354862"/>
    <w:rsid w:val="00396BD1"/>
    <w:rsid w:val="003F7F8F"/>
    <w:rsid w:val="004022CC"/>
    <w:rsid w:val="00411E17"/>
    <w:rsid w:val="00443036"/>
    <w:rsid w:val="004D2F20"/>
    <w:rsid w:val="00545157"/>
    <w:rsid w:val="00554B19"/>
    <w:rsid w:val="00557DF0"/>
    <w:rsid w:val="00583F17"/>
    <w:rsid w:val="0059218F"/>
    <w:rsid w:val="005D35EA"/>
    <w:rsid w:val="005F3599"/>
    <w:rsid w:val="0062442A"/>
    <w:rsid w:val="00647F99"/>
    <w:rsid w:val="006811D4"/>
    <w:rsid w:val="006B2D13"/>
    <w:rsid w:val="006E062E"/>
    <w:rsid w:val="006E1B6C"/>
    <w:rsid w:val="00790762"/>
    <w:rsid w:val="007B7559"/>
    <w:rsid w:val="007C1004"/>
    <w:rsid w:val="008129F8"/>
    <w:rsid w:val="00835ECE"/>
    <w:rsid w:val="00860F31"/>
    <w:rsid w:val="008650C5"/>
    <w:rsid w:val="008C51B3"/>
    <w:rsid w:val="008D3DC0"/>
    <w:rsid w:val="008F6BCD"/>
    <w:rsid w:val="009026B1"/>
    <w:rsid w:val="009B35F1"/>
    <w:rsid w:val="009D0180"/>
    <w:rsid w:val="00A23275"/>
    <w:rsid w:val="00A34359"/>
    <w:rsid w:val="00A95E75"/>
    <w:rsid w:val="00AF3B1E"/>
    <w:rsid w:val="00B04E05"/>
    <w:rsid w:val="00B15EF9"/>
    <w:rsid w:val="00B650FC"/>
    <w:rsid w:val="00B73F5E"/>
    <w:rsid w:val="00B8632E"/>
    <w:rsid w:val="00BC7580"/>
    <w:rsid w:val="00C03249"/>
    <w:rsid w:val="00C34684"/>
    <w:rsid w:val="00C527CA"/>
    <w:rsid w:val="00C53CC0"/>
    <w:rsid w:val="00C564E5"/>
    <w:rsid w:val="00C7543E"/>
    <w:rsid w:val="00D34983"/>
    <w:rsid w:val="00D36534"/>
    <w:rsid w:val="00D53F7A"/>
    <w:rsid w:val="00D61EDF"/>
    <w:rsid w:val="00DB2DB5"/>
    <w:rsid w:val="00DC7E1E"/>
    <w:rsid w:val="00DD37A1"/>
    <w:rsid w:val="00E25233"/>
    <w:rsid w:val="00E278FF"/>
    <w:rsid w:val="00E669C3"/>
    <w:rsid w:val="00E81B14"/>
    <w:rsid w:val="00F47DFD"/>
    <w:rsid w:val="00F940B7"/>
    <w:rsid w:val="00F94E2C"/>
    <w:rsid w:val="00FB6D67"/>
    <w:rsid w:val="00FE5A72"/>
    <w:rsid w:val="00FF219D"/>
    <w:rsid w:val="170E6162"/>
    <w:rsid w:val="3B610BCB"/>
    <w:rsid w:val="3B9D73FC"/>
    <w:rsid w:val="508F4B7D"/>
    <w:rsid w:val="7AB07170"/>
    <w:rsid w:val="7F950261"/>
    <w:rsid w:val="7FAFA57E"/>
    <w:rsid w:val="DFFAAD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spacing w:line="600" w:lineRule="exact"/>
      <w:ind w:firstLine="420" w:firstLineChars="200"/>
    </w:pPr>
    <w:rPr>
      <w:rFonts w:eastAsia="仿宋_GB2312"/>
      <w:sz w:val="34"/>
    </w:rPr>
  </w:style>
  <w:style w:type="paragraph" w:styleId="3">
    <w:name w:val="caption"/>
    <w:basedOn w:val="1"/>
    <w:next w:val="1"/>
    <w:qFormat/>
    <w:uiPriority w:val="99"/>
    <w:rPr>
      <w:rFonts w:ascii="Cambria" w:hAnsi="Cambria" w:eastAsia="黑体" w:cs="Cambria"/>
      <w:sz w:val="20"/>
      <w:szCs w:val="20"/>
    </w:rPr>
  </w:style>
  <w:style w:type="paragraph" w:styleId="4">
    <w:name w:val="Body Text"/>
    <w:basedOn w:val="1"/>
    <w:next w:val="1"/>
    <w:qFormat/>
    <w:uiPriority w:val="0"/>
  </w:style>
  <w:style w:type="paragraph" w:styleId="5">
    <w:name w:val="Body Text Indent"/>
    <w:basedOn w:val="1"/>
    <w:next w:val="4"/>
    <w:unhideWhenUsed/>
    <w:qFormat/>
    <w:uiPriority w:val="99"/>
    <w:pPr>
      <w:spacing w:after="120"/>
      <w:ind w:left="420" w:leftChars="200"/>
    </w:pPr>
  </w:style>
  <w:style w:type="paragraph" w:styleId="6">
    <w:name w:val="footer"/>
    <w:basedOn w:val="1"/>
    <w:unhideWhenUsed/>
    <w:qFormat/>
    <w:uiPriority w:val="99"/>
    <w:pPr>
      <w:tabs>
        <w:tab w:val="center" w:pos="4153"/>
        <w:tab w:val="right" w:pos="8306"/>
      </w:tabs>
      <w:snapToGrid w:val="0"/>
      <w:jc w:val="left"/>
    </w:pPr>
    <w:rPr>
      <w:sz w:val="18"/>
    </w:rPr>
  </w:style>
  <w:style w:type="paragraph" w:styleId="7">
    <w:name w:val="header"/>
    <w:basedOn w:val="1"/>
    <w:link w:val="12"/>
    <w:qFormat/>
    <w:uiPriority w:val="0"/>
    <w:pPr>
      <w:tabs>
        <w:tab w:val="center" w:pos="4153"/>
        <w:tab w:val="right" w:pos="8306"/>
      </w:tabs>
      <w:snapToGrid w:val="0"/>
      <w:jc w:val="center"/>
    </w:pPr>
    <w:rPr>
      <w:sz w:val="18"/>
      <w:szCs w:val="18"/>
    </w:rPr>
  </w:style>
  <w:style w:type="paragraph" w:styleId="8">
    <w:name w:val="Body Text First Indent"/>
    <w:basedOn w:val="4"/>
    <w:qFormat/>
    <w:uiPriority w:val="0"/>
    <w:pPr>
      <w:ind w:firstLine="420" w:firstLineChars="100"/>
    </w:pPr>
    <w:rPr>
      <w:rFonts w:eastAsia="宋体" w:cs="Times New Roman"/>
    </w:rPr>
  </w:style>
  <w:style w:type="paragraph" w:styleId="9">
    <w:name w:val="Body Text First Indent 2"/>
    <w:basedOn w:val="5"/>
    <w:next w:val="8"/>
    <w:unhideWhenUsed/>
    <w:qFormat/>
    <w:uiPriority w:val="99"/>
    <w:pPr>
      <w:ind w:firstLine="420" w:firstLineChars="200"/>
    </w:pPr>
    <w:rPr>
      <w:rFonts w:ascii="Calibri" w:hAnsi="Calibri" w:eastAsia="宋体" w:cs="Times New Roman"/>
    </w:rPr>
  </w:style>
  <w:style w:type="character" w:customStyle="1" w:styleId="12">
    <w:name w:val="页眉 字符"/>
    <w:basedOn w:val="11"/>
    <w:link w:val="7"/>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1245</Words>
  <Characters>1289</Characters>
  <Lines>1</Lines>
  <Paragraphs>2</Paragraphs>
  <TotalTime>2</TotalTime>
  <ScaleCrop>false</ScaleCrop>
  <LinksUpToDate>false</LinksUpToDate>
  <CharactersWithSpaces>1289</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2025-11-08T11:36:00Z</dcterms:created>
  <dc:creator>admin</dc:creator>
  <cp:lastModifiedBy>天宝带你游新疆</cp:lastModifiedBy>
  <cp:lastPrinted>2025-11-11T03:28:00Z</cp:lastPrinted>
  <dcterms:modified xsi:type="dcterms:W3CDTF">2025-11-13T13:03:22Z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KSOTemplateDocerSaveRecord">
    <vt:lpwstr>eyJoZGlkIjoiM2NkMWJlNWFhZjE2NjUxM2FjMmZlNDc1OWJjZGFiNzIiLCJ1c2VySWQiOiI2MjYyMzUwNDkifQ==</vt:lpwstr>
  </property>
  <property fmtid="{D5CDD505-2E9C-101B-9397-08002B2CF9AE}" pid="4" name="ICV">
    <vt:lpwstr>6EC24BBB8D8541FEB11FF86762C09F13_13</vt:lpwstr>
  </property>
</Properties>
</file>